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Palatino Linotype" w:eastAsiaTheme="majorEastAsia" w:hAnsi="Palatino Linotype" w:cstheme="majorBidi"/>
          <w:caps/>
        </w:rPr>
        <w:id w:val="339096676"/>
        <w:docPartObj>
          <w:docPartGallery w:val="Cover Pages"/>
          <w:docPartUnique/>
        </w:docPartObj>
      </w:sdtPr>
      <w:sdtEndPr>
        <w:rPr>
          <w:rFonts w:eastAsia="Calibri" w:cs="Times New Roman"/>
          <w:b/>
          <w:caps w:val="0"/>
          <w:sz w:val="24"/>
          <w:szCs w:val="24"/>
        </w:rPr>
      </w:sdtEndPr>
      <w:sdtContent>
        <w:tbl>
          <w:tblPr>
            <w:tblW w:w="5000" w:type="pct"/>
            <w:jc w:val="center"/>
            <w:tblLook w:val="04A0"/>
          </w:tblPr>
          <w:tblGrid>
            <w:gridCol w:w="9576"/>
          </w:tblGrid>
          <w:tr w:rsidR="00C73706" w:rsidRPr="00697FE2">
            <w:trPr>
              <w:trHeight w:val="2880"/>
              <w:jc w:val="center"/>
            </w:trPr>
            <w:sdt>
              <w:sdtPr>
                <w:rPr>
                  <w:rFonts w:ascii="Palatino Linotype" w:eastAsiaTheme="majorEastAsia" w:hAnsi="Palatino Linotype" w:cstheme="majorBidi"/>
                  <w:caps/>
                </w:rPr>
                <w:alias w:val="Company"/>
                <w:id w:val="15524243"/>
                <w:placeholder>
                  <w:docPart w:val="B32BB16CE183448098A9FFDFB079F5E2"/>
                </w:placeholder>
                <w:dataBinding w:prefixMappings="xmlns:ns0='http://schemas.openxmlformats.org/officeDocument/2006/extended-properties'" w:xpath="/ns0:Properties[1]/ns0:Company[1]" w:storeItemID="{6668398D-A668-4E3E-A5EB-62B293D839F1}"/>
                <w:text/>
              </w:sdtPr>
              <w:sdtContent>
                <w:tc>
                  <w:tcPr>
                    <w:tcW w:w="5000" w:type="pct"/>
                  </w:tcPr>
                  <w:p w:rsidR="00C73706" w:rsidRPr="00697FE2" w:rsidRDefault="00C73706" w:rsidP="00C73706">
                    <w:pPr>
                      <w:pStyle w:val="NoSpacing"/>
                      <w:jc w:val="center"/>
                      <w:rPr>
                        <w:rFonts w:ascii="Palatino Linotype" w:eastAsiaTheme="majorEastAsia" w:hAnsi="Palatino Linotype" w:cstheme="majorBidi"/>
                        <w:caps/>
                      </w:rPr>
                    </w:pPr>
                    <w:r w:rsidRPr="00697FE2">
                      <w:rPr>
                        <w:rFonts w:ascii="Palatino Linotype" w:eastAsiaTheme="majorEastAsia" w:hAnsi="Palatino Linotype" w:cstheme="majorBidi"/>
                        <w:caps/>
                      </w:rPr>
                      <w:t xml:space="preserve">  </w:t>
                    </w:r>
                  </w:p>
                </w:tc>
              </w:sdtContent>
            </w:sdt>
          </w:tr>
          <w:tr w:rsidR="00C73706" w:rsidRPr="00697FE2">
            <w:trPr>
              <w:trHeight w:val="1440"/>
              <w:jc w:val="center"/>
            </w:trPr>
            <w:sdt>
              <w:sdtPr>
                <w:rPr>
                  <w:rFonts w:ascii="Palatino Linotype" w:eastAsiaTheme="majorEastAsia" w:hAnsi="Palatino Linotype" w:cstheme="majorBidi"/>
                  <w:sz w:val="80"/>
                  <w:szCs w:val="80"/>
                </w:rPr>
                <w:alias w:val="Title"/>
                <w:id w:val="15524250"/>
                <w:placeholder>
                  <w:docPart w:val="598DC0036F4142D2A096C73E7EA25A23"/>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C73706" w:rsidRPr="00697FE2" w:rsidRDefault="00697FE2" w:rsidP="00697FE2">
                    <w:pPr>
                      <w:pStyle w:val="NoSpacing"/>
                      <w:jc w:val="center"/>
                      <w:rPr>
                        <w:rFonts w:ascii="Palatino Linotype" w:eastAsiaTheme="majorEastAsia" w:hAnsi="Palatino Linotype" w:cstheme="majorBidi"/>
                        <w:sz w:val="80"/>
                        <w:szCs w:val="80"/>
                      </w:rPr>
                    </w:pPr>
                    <w:r w:rsidRPr="00697FE2">
                      <w:rPr>
                        <w:rFonts w:ascii="Palatino Linotype" w:eastAsiaTheme="majorEastAsia" w:hAnsi="Palatino Linotype" w:cstheme="majorBidi"/>
                        <w:sz w:val="80"/>
                        <w:szCs w:val="80"/>
                      </w:rPr>
                      <w:t>Great Lessons (draft)</w:t>
                    </w:r>
                  </w:p>
                </w:tc>
              </w:sdtContent>
            </w:sdt>
          </w:tr>
          <w:tr w:rsidR="00C73706" w:rsidRPr="00697FE2">
            <w:trPr>
              <w:trHeight w:val="720"/>
              <w:jc w:val="center"/>
            </w:trPr>
            <w:sdt>
              <w:sdtPr>
                <w:rPr>
                  <w:rFonts w:ascii="Palatino Linotype" w:eastAsiaTheme="majorEastAsia" w:hAnsi="Palatino Linotype" w:cstheme="majorBidi"/>
                  <w:sz w:val="44"/>
                  <w:szCs w:val="44"/>
                </w:rPr>
                <w:alias w:val="Subtitle"/>
                <w:id w:val="15524255"/>
                <w:placeholder>
                  <w:docPart w:val="951DDC2CE30E4782AA3D4E2E4D8CD1D8"/>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C73706" w:rsidRPr="00697FE2" w:rsidRDefault="00C73706" w:rsidP="00C73706">
                    <w:pPr>
                      <w:pStyle w:val="NoSpacing"/>
                      <w:jc w:val="center"/>
                      <w:rPr>
                        <w:rFonts w:ascii="Palatino Linotype" w:eastAsiaTheme="majorEastAsia" w:hAnsi="Palatino Linotype" w:cstheme="majorBidi"/>
                        <w:sz w:val="44"/>
                        <w:szCs w:val="44"/>
                      </w:rPr>
                    </w:pPr>
                    <w:r w:rsidRPr="00697FE2">
                      <w:rPr>
                        <w:rFonts w:ascii="Palatino Linotype" w:eastAsiaTheme="majorEastAsia" w:hAnsi="Palatino Linotype" w:cstheme="majorBidi"/>
                        <w:sz w:val="44"/>
                        <w:szCs w:val="44"/>
                      </w:rPr>
                      <w:t>Montessori Foundations: History 265</w:t>
                    </w:r>
                  </w:p>
                </w:tc>
              </w:sdtContent>
            </w:sdt>
          </w:tr>
          <w:tr w:rsidR="00C73706" w:rsidRPr="00697FE2">
            <w:trPr>
              <w:trHeight w:val="360"/>
              <w:jc w:val="center"/>
            </w:trPr>
            <w:tc>
              <w:tcPr>
                <w:tcW w:w="5000" w:type="pct"/>
                <w:vAlign w:val="center"/>
              </w:tcPr>
              <w:p w:rsidR="00C73706" w:rsidRPr="00697FE2" w:rsidRDefault="00C73706">
                <w:pPr>
                  <w:pStyle w:val="NoSpacing"/>
                  <w:jc w:val="center"/>
                  <w:rPr>
                    <w:rFonts w:ascii="Palatino Linotype" w:hAnsi="Palatino Linotype"/>
                  </w:rPr>
                </w:pPr>
              </w:p>
            </w:tc>
          </w:tr>
          <w:tr w:rsidR="00C73706" w:rsidRPr="00697FE2">
            <w:trPr>
              <w:trHeight w:val="360"/>
              <w:jc w:val="center"/>
            </w:trPr>
            <w:sdt>
              <w:sdtPr>
                <w:rPr>
                  <w:rFonts w:ascii="Palatino Linotype" w:hAnsi="Palatino Linotype"/>
                  <w:b/>
                  <w:bCs/>
                </w:rPr>
                <w:alias w:val="Author"/>
                <w:id w:val="15524260"/>
                <w:placeholder>
                  <w:docPart w:val="A7F99651E0724D8BB4182928C0C3F5C7"/>
                </w:placeholder>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C73706" w:rsidRPr="00697FE2" w:rsidRDefault="00C73706" w:rsidP="00C73706">
                    <w:pPr>
                      <w:pStyle w:val="NoSpacing"/>
                      <w:jc w:val="center"/>
                      <w:rPr>
                        <w:rFonts w:ascii="Palatino Linotype" w:hAnsi="Palatino Linotype"/>
                        <w:b/>
                        <w:bCs/>
                      </w:rPr>
                    </w:pPr>
                    <w:r w:rsidRPr="00697FE2">
                      <w:rPr>
                        <w:rFonts w:ascii="Palatino Linotype" w:hAnsi="Palatino Linotype"/>
                        <w:b/>
                        <w:bCs/>
                      </w:rPr>
                      <w:t>Cynthia “Kiki” Pettit</w:t>
                    </w:r>
                  </w:p>
                </w:tc>
              </w:sdtContent>
            </w:sdt>
          </w:tr>
          <w:tr w:rsidR="00C73706" w:rsidRPr="00697FE2">
            <w:trPr>
              <w:trHeight w:val="360"/>
              <w:jc w:val="center"/>
            </w:trPr>
            <w:sdt>
              <w:sdtPr>
                <w:rPr>
                  <w:rFonts w:ascii="Palatino Linotype" w:hAnsi="Palatino Linotype"/>
                  <w:b/>
                  <w:bCs/>
                </w:rPr>
                <w:alias w:val="Date"/>
                <w:id w:val="516659546"/>
                <w:placeholder>
                  <w:docPart w:val="5AE682F7DAC34B8EBB52E1ECC878AF57"/>
                </w:placeholder>
                <w:dataBinding w:prefixMappings="xmlns:ns0='http://schemas.microsoft.com/office/2006/coverPageProps'" w:xpath="/ns0:CoverPageProperties[1]/ns0:PublishDate[1]" w:storeItemID="{55AF091B-3C7A-41E3-B477-F2FDAA23CFDA}"/>
                <w:date w:fullDate="2009-01-26T00:00:00Z">
                  <w:dateFormat w:val="M/d/yyyy"/>
                  <w:lid w:val="en-US"/>
                  <w:storeMappedDataAs w:val="dateTime"/>
                  <w:calendar w:val="gregorian"/>
                </w:date>
              </w:sdtPr>
              <w:sdtContent>
                <w:tc>
                  <w:tcPr>
                    <w:tcW w:w="5000" w:type="pct"/>
                    <w:vAlign w:val="center"/>
                  </w:tcPr>
                  <w:p w:rsidR="00C73706" w:rsidRPr="00697FE2" w:rsidRDefault="00697FE2">
                    <w:pPr>
                      <w:pStyle w:val="NoSpacing"/>
                      <w:jc w:val="center"/>
                      <w:rPr>
                        <w:rFonts w:ascii="Palatino Linotype" w:hAnsi="Palatino Linotype"/>
                        <w:b/>
                        <w:bCs/>
                      </w:rPr>
                    </w:pPr>
                    <w:r w:rsidRPr="00697FE2">
                      <w:rPr>
                        <w:rFonts w:ascii="Palatino Linotype" w:hAnsi="Palatino Linotype"/>
                        <w:b/>
                        <w:bCs/>
                      </w:rPr>
                      <w:t>1/26/2009</w:t>
                    </w:r>
                  </w:p>
                </w:tc>
              </w:sdtContent>
            </w:sdt>
          </w:tr>
        </w:tbl>
        <w:p w:rsidR="00C73706" w:rsidRPr="00697FE2" w:rsidRDefault="00C73706">
          <w:pPr>
            <w:rPr>
              <w:rFonts w:ascii="Palatino Linotype" w:hAnsi="Palatino Linotype"/>
            </w:rPr>
          </w:pPr>
        </w:p>
        <w:p w:rsidR="00C73706" w:rsidRPr="00697FE2" w:rsidRDefault="00C73706">
          <w:pPr>
            <w:rPr>
              <w:rFonts w:ascii="Palatino Linotype" w:hAnsi="Palatino Linotype"/>
            </w:rPr>
          </w:pPr>
        </w:p>
        <w:tbl>
          <w:tblPr>
            <w:tblpPr w:leftFromText="187" w:rightFromText="187" w:horzAnchor="margin" w:tblpXSpec="center" w:tblpYSpec="bottom"/>
            <w:tblW w:w="5000" w:type="pct"/>
            <w:tblLook w:val="04A0"/>
          </w:tblPr>
          <w:tblGrid>
            <w:gridCol w:w="9576"/>
          </w:tblGrid>
          <w:tr w:rsidR="00C73706" w:rsidRPr="00697FE2">
            <w:sdt>
              <w:sdtPr>
                <w:rPr>
                  <w:rFonts w:ascii="Palatino Linotype" w:hAnsi="Palatino Linotype"/>
                </w:rPr>
                <w:alias w:val="Abstract"/>
                <w:id w:val="8276291"/>
                <w:dataBinding w:prefixMappings="xmlns:ns0='http://schemas.microsoft.com/office/2006/coverPageProps'" w:xpath="/ns0:CoverPageProperties[1]/ns0:Abstract[1]" w:storeItemID="{55AF091B-3C7A-41E3-B477-F2FDAA23CFDA}"/>
                <w:text/>
              </w:sdtPr>
              <w:sdtContent>
                <w:tc>
                  <w:tcPr>
                    <w:tcW w:w="5000" w:type="pct"/>
                  </w:tcPr>
                  <w:p w:rsidR="00C73706" w:rsidRPr="00697FE2" w:rsidRDefault="00697FE2" w:rsidP="00697FE2">
                    <w:pPr>
                      <w:pStyle w:val="NoSpacing"/>
                      <w:rPr>
                        <w:rFonts w:ascii="Palatino Linotype" w:hAnsi="Palatino Linotype"/>
                      </w:rPr>
                    </w:pPr>
                    <w:r>
                      <w:rPr>
                        <w:rFonts w:ascii="Palatino Linotype" w:hAnsi="Palatino Linotype"/>
                      </w:rPr>
                      <w:t>A description of the Great Lessons, the Key Lessons, and the Follow On Lessons and how they are used in the classroom.  This is a very drafty draft, not much to it, but I figured I’d give you a flavor of what I intend to write when I get the time to polish it up!</w:t>
                    </w:r>
                  </w:p>
                </w:tc>
              </w:sdtContent>
            </w:sdt>
          </w:tr>
        </w:tbl>
        <w:p w:rsidR="00C73706" w:rsidRPr="00697FE2" w:rsidRDefault="00C73706">
          <w:pPr>
            <w:rPr>
              <w:rFonts w:ascii="Palatino Linotype" w:hAnsi="Palatino Linotype"/>
            </w:rPr>
          </w:pPr>
        </w:p>
        <w:p w:rsidR="00697FE2" w:rsidRPr="00697FE2" w:rsidRDefault="00C73706" w:rsidP="00697FE2">
          <w:pPr>
            <w:rPr>
              <w:rFonts w:ascii="Palatino Linotype" w:hAnsi="Palatino Linotype"/>
            </w:rPr>
          </w:pPr>
          <w:r w:rsidRPr="00697FE2">
            <w:rPr>
              <w:rFonts w:ascii="Palatino Linotype" w:hAnsi="Palatino Linotype"/>
            </w:rPr>
            <w:br w:type="page"/>
          </w:r>
        </w:p>
        <w:p w:rsidR="00697FE2" w:rsidRPr="00697FE2" w:rsidRDefault="00697FE2" w:rsidP="00697FE2">
          <w:pPr>
            <w:jc w:val="center"/>
            <w:rPr>
              <w:rFonts w:ascii="Palatino Linotype" w:hAnsi="Palatino Linotype"/>
              <w:b/>
              <w:sz w:val="24"/>
              <w:szCs w:val="24"/>
            </w:rPr>
          </w:pPr>
          <w:r>
            <w:rPr>
              <w:rFonts w:ascii="Palatino Linotype" w:hAnsi="Palatino Linotype"/>
              <w:b/>
              <w:sz w:val="24"/>
              <w:szCs w:val="24"/>
            </w:rPr>
            <w:lastRenderedPageBreak/>
            <w:t>Introduction</w:t>
          </w:r>
        </w:p>
        <w:p w:rsidR="00697FE2" w:rsidRDefault="00697FE2" w:rsidP="00697FE2">
          <w:pPr>
            <w:ind w:firstLine="720"/>
            <w:rPr>
              <w:rFonts w:ascii="Palatino Linotype" w:hAnsi="Palatino Linotype"/>
              <w:sz w:val="24"/>
              <w:szCs w:val="24"/>
            </w:rPr>
          </w:pPr>
          <w:r>
            <w:rPr>
              <w:rFonts w:ascii="Palatino Linotype" w:hAnsi="Palatino Linotype"/>
              <w:sz w:val="24"/>
              <w:szCs w:val="24"/>
            </w:rPr>
            <w:t>Here’s what I’ll be tellin’ ya.</w:t>
          </w:r>
        </w:p>
        <w:p w:rsidR="00697FE2" w:rsidRPr="00697FE2" w:rsidRDefault="00697FE2" w:rsidP="00697FE2">
          <w:pPr>
            <w:jc w:val="center"/>
            <w:rPr>
              <w:rFonts w:ascii="Palatino Linotype" w:hAnsi="Palatino Linotype"/>
              <w:b/>
              <w:sz w:val="24"/>
              <w:szCs w:val="24"/>
            </w:rPr>
          </w:pPr>
          <w:r w:rsidRPr="00697FE2">
            <w:rPr>
              <w:rFonts w:ascii="Palatino Linotype" w:hAnsi="Palatino Linotype"/>
              <w:b/>
              <w:sz w:val="24"/>
              <w:szCs w:val="24"/>
            </w:rPr>
            <w:t>The Great Lessons</w:t>
          </w:r>
        </w:p>
        <w:p w:rsidR="00697FE2" w:rsidRPr="00697FE2" w:rsidRDefault="00697FE2" w:rsidP="00697FE2">
          <w:pPr>
            <w:ind w:firstLine="720"/>
            <w:rPr>
              <w:rFonts w:ascii="Palatino Linotype" w:hAnsi="Palatino Linotype"/>
              <w:sz w:val="24"/>
              <w:szCs w:val="24"/>
            </w:rPr>
          </w:pPr>
          <w:r w:rsidRPr="00697FE2">
            <w:rPr>
              <w:rFonts w:ascii="Palatino Linotype" w:hAnsi="Palatino Linotype"/>
              <w:sz w:val="24"/>
              <w:szCs w:val="24"/>
            </w:rPr>
            <w:t>The Great Lessons are the backbone to all the knowledge of the Universe – physics, astronomy, biology, anthropology, mathematics, etc.  What are the Great Lessons?  (List and describe)  When and how are these administered?</w:t>
          </w:r>
        </w:p>
        <w:p w:rsidR="00697FE2" w:rsidRPr="00697FE2" w:rsidRDefault="00697FE2" w:rsidP="00697FE2">
          <w:pPr>
            <w:jc w:val="center"/>
            <w:rPr>
              <w:rFonts w:ascii="Palatino Linotype" w:hAnsi="Palatino Linotype"/>
              <w:b/>
              <w:sz w:val="24"/>
              <w:szCs w:val="24"/>
            </w:rPr>
          </w:pPr>
          <w:r w:rsidRPr="00697FE2">
            <w:rPr>
              <w:rFonts w:ascii="Palatino Linotype" w:hAnsi="Palatino Linotype"/>
              <w:b/>
              <w:sz w:val="24"/>
              <w:szCs w:val="24"/>
            </w:rPr>
            <w:t>The Key Lessons</w:t>
          </w:r>
        </w:p>
        <w:p w:rsidR="00697FE2" w:rsidRPr="00697FE2" w:rsidRDefault="00697FE2" w:rsidP="00697FE2">
          <w:pPr>
            <w:ind w:firstLine="720"/>
            <w:rPr>
              <w:rFonts w:ascii="Palatino Linotype" w:hAnsi="Palatino Linotype"/>
              <w:sz w:val="24"/>
              <w:szCs w:val="24"/>
            </w:rPr>
          </w:pPr>
          <w:r w:rsidRPr="00697FE2">
            <w:rPr>
              <w:rFonts w:ascii="Palatino Linotype" w:hAnsi="Palatino Linotype"/>
              <w:sz w:val="24"/>
              <w:szCs w:val="24"/>
            </w:rPr>
            <w:t>The Key Lessons give finer detail and fan the fires of the Great Lessons.  Here are some examples of the Key Lessons.  (List and describe)  When and how are these administered?</w:t>
          </w:r>
        </w:p>
        <w:p w:rsidR="00697FE2" w:rsidRPr="00697FE2" w:rsidRDefault="00697FE2" w:rsidP="00697FE2">
          <w:pPr>
            <w:jc w:val="center"/>
            <w:rPr>
              <w:rFonts w:ascii="Palatino Linotype" w:hAnsi="Palatino Linotype"/>
              <w:b/>
              <w:sz w:val="24"/>
              <w:szCs w:val="24"/>
            </w:rPr>
          </w:pPr>
          <w:r w:rsidRPr="00697FE2">
            <w:rPr>
              <w:rFonts w:ascii="Palatino Linotype" w:hAnsi="Palatino Linotype"/>
              <w:b/>
              <w:sz w:val="24"/>
              <w:szCs w:val="24"/>
            </w:rPr>
            <w:t>Follow On Lessons</w:t>
          </w:r>
        </w:p>
        <w:p w:rsidR="00697FE2" w:rsidRPr="00697FE2" w:rsidRDefault="00697FE2" w:rsidP="00697FE2">
          <w:pPr>
            <w:ind w:firstLine="720"/>
            <w:rPr>
              <w:rFonts w:ascii="Palatino Linotype" w:hAnsi="Palatino Linotype"/>
              <w:sz w:val="24"/>
              <w:szCs w:val="24"/>
            </w:rPr>
          </w:pPr>
          <w:r w:rsidRPr="00697FE2">
            <w:rPr>
              <w:rFonts w:ascii="Palatino Linotype" w:hAnsi="Palatino Linotype"/>
              <w:sz w:val="24"/>
              <w:szCs w:val="24"/>
            </w:rPr>
            <w:t>Follow on lessons are even finer detail.  (Are they created by the teacher, or are there a list of them?  Need more info.)  Here are some examples of follow on lessons.  (List and describe.)  When and how are these administered?</w:t>
          </w:r>
        </w:p>
        <w:p w:rsidR="00697FE2" w:rsidRPr="00697FE2" w:rsidRDefault="00697FE2" w:rsidP="00697FE2">
          <w:pPr>
            <w:jc w:val="center"/>
            <w:rPr>
              <w:rFonts w:ascii="Palatino Linotype" w:hAnsi="Palatino Linotype"/>
              <w:b/>
              <w:sz w:val="24"/>
              <w:szCs w:val="24"/>
            </w:rPr>
          </w:pPr>
          <w:r w:rsidRPr="00697FE2">
            <w:rPr>
              <w:rFonts w:ascii="Palatino Linotype" w:hAnsi="Palatino Linotype"/>
              <w:b/>
              <w:sz w:val="24"/>
              <w:szCs w:val="24"/>
            </w:rPr>
            <w:t>Purpose of the Great Lessons</w:t>
          </w:r>
        </w:p>
        <w:p w:rsidR="00697FE2" w:rsidRPr="00697FE2" w:rsidRDefault="00697FE2" w:rsidP="00697FE2">
          <w:pPr>
            <w:ind w:firstLine="720"/>
            <w:rPr>
              <w:rFonts w:ascii="Palatino Linotype" w:hAnsi="Palatino Linotype"/>
              <w:sz w:val="24"/>
              <w:szCs w:val="24"/>
            </w:rPr>
          </w:pPr>
          <w:r w:rsidRPr="00697FE2">
            <w:rPr>
              <w:rFonts w:ascii="Palatino Linotype" w:hAnsi="Palatino Linotype"/>
              <w:sz w:val="24"/>
              <w:szCs w:val="24"/>
            </w:rPr>
            <w:t>These lessons are not intended to *teach*, but to inspire the drive to learn more.  The child’s appetite for learning is insatiable.  These Great Lessons give it focus, and fix the otherwise aimless appetite for learning.</w:t>
          </w:r>
        </w:p>
        <w:p w:rsidR="00697FE2" w:rsidRPr="00697FE2" w:rsidRDefault="00697FE2" w:rsidP="00697FE2">
          <w:pPr>
            <w:jc w:val="center"/>
            <w:rPr>
              <w:rFonts w:ascii="Palatino Linotype" w:hAnsi="Palatino Linotype"/>
              <w:b/>
              <w:sz w:val="24"/>
              <w:szCs w:val="24"/>
            </w:rPr>
          </w:pPr>
          <w:r w:rsidRPr="00697FE2">
            <w:rPr>
              <w:rFonts w:ascii="Palatino Linotype" w:hAnsi="Palatino Linotype"/>
              <w:b/>
              <w:sz w:val="24"/>
              <w:szCs w:val="24"/>
            </w:rPr>
            <w:t>Use of the Subconscious</w:t>
          </w:r>
        </w:p>
        <w:p w:rsidR="00697FE2" w:rsidRPr="00697FE2" w:rsidRDefault="00697FE2" w:rsidP="00697FE2">
          <w:pPr>
            <w:ind w:firstLine="720"/>
            <w:rPr>
              <w:rFonts w:ascii="Palatino Linotype" w:hAnsi="Palatino Linotype"/>
              <w:sz w:val="24"/>
              <w:szCs w:val="24"/>
            </w:rPr>
          </w:pPr>
          <w:r w:rsidRPr="00697FE2">
            <w:rPr>
              <w:rFonts w:ascii="Palatino Linotype" w:hAnsi="Palatino Linotype"/>
              <w:sz w:val="24"/>
              <w:szCs w:val="24"/>
            </w:rPr>
            <w:t>Also, the intention is not to teach the child everything, but to “cast seeds as widely as possible.”  Information is meant to be held lightly in the brain, for it is the engrams who process information through the unconscious mind.  So these concepts are not meant to be understood or remembered with one or two exposures.</w:t>
          </w:r>
        </w:p>
        <w:p w:rsidR="00697FE2" w:rsidRPr="00697FE2" w:rsidRDefault="00697FE2" w:rsidP="00697FE2">
          <w:pPr>
            <w:jc w:val="center"/>
            <w:rPr>
              <w:rFonts w:ascii="Palatino Linotype" w:hAnsi="Palatino Linotype"/>
              <w:b/>
              <w:sz w:val="24"/>
              <w:szCs w:val="24"/>
            </w:rPr>
          </w:pPr>
          <w:r w:rsidRPr="00697FE2">
            <w:rPr>
              <w:rFonts w:ascii="Palatino Linotype" w:hAnsi="Palatino Linotype"/>
              <w:b/>
              <w:sz w:val="24"/>
              <w:szCs w:val="24"/>
            </w:rPr>
            <w:t>The Flaming Ball of the Imagination</w:t>
          </w:r>
        </w:p>
        <w:p w:rsidR="00697FE2" w:rsidRPr="00697FE2" w:rsidRDefault="00697FE2" w:rsidP="00697FE2">
          <w:pPr>
            <w:rPr>
              <w:rFonts w:ascii="Palatino Linotype" w:hAnsi="Palatino Linotype"/>
              <w:sz w:val="24"/>
              <w:szCs w:val="24"/>
            </w:rPr>
          </w:pPr>
          <w:r w:rsidRPr="00697FE2">
            <w:rPr>
              <w:rFonts w:ascii="Palatino Linotype" w:hAnsi="Palatino Linotype"/>
              <w:sz w:val="24"/>
              <w:szCs w:val="24"/>
            </w:rPr>
            <w:t xml:space="preserve">The imagination is used to spread knowledge.  A child studies one thing to great detail, then uses the imagination to see the rest of the world.  Study of one tree spreads to an understanding of all trees, even to plants, and in some respects to animals, fish, corals, </w:t>
          </w:r>
          <w:r w:rsidRPr="00697FE2">
            <w:rPr>
              <w:rFonts w:ascii="Palatino Linotype" w:hAnsi="Palatino Linotype"/>
              <w:sz w:val="24"/>
              <w:szCs w:val="24"/>
            </w:rPr>
            <w:lastRenderedPageBreak/>
            <w:t>and all living things – just through the study of one thing.  The imagination has the ability to see and experience things infinitely far back in time, as well as infinitely far away – the breadth of time and space!</w:t>
          </w:r>
        </w:p>
        <w:p w:rsidR="00697FE2" w:rsidRPr="00697FE2" w:rsidRDefault="00697FE2" w:rsidP="00697FE2">
          <w:pPr>
            <w:jc w:val="center"/>
            <w:rPr>
              <w:rFonts w:ascii="Palatino Linotype" w:hAnsi="Palatino Linotype"/>
              <w:b/>
              <w:sz w:val="24"/>
              <w:szCs w:val="24"/>
            </w:rPr>
          </w:pPr>
          <w:r w:rsidRPr="00697FE2">
            <w:rPr>
              <w:rFonts w:ascii="Palatino Linotype" w:hAnsi="Palatino Linotype"/>
              <w:b/>
              <w:sz w:val="24"/>
              <w:szCs w:val="24"/>
            </w:rPr>
            <w:t>Hands-On Learning</w:t>
          </w:r>
        </w:p>
        <w:p w:rsidR="00697FE2" w:rsidRPr="00697FE2" w:rsidRDefault="00697FE2" w:rsidP="00697FE2">
          <w:pPr>
            <w:ind w:firstLine="720"/>
            <w:rPr>
              <w:rFonts w:ascii="Palatino Linotype" w:hAnsi="Palatino Linotype"/>
              <w:sz w:val="24"/>
              <w:szCs w:val="24"/>
            </w:rPr>
          </w:pPr>
          <w:r w:rsidRPr="00697FE2">
            <w:rPr>
              <w:rFonts w:ascii="Palatino Linotype" w:hAnsi="Palatino Linotype"/>
              <w:sz w:val="24"/>
              <w:szCs w:val="24"/>
            </w:rPr>
            <w:t>As the child must research one thing to a depth before being able to expand the imagination outward, so, too, must the child experience real things in the world to imagine them in the distant past or far away.  Direct contact with the real world is essential to Montessori education, and the child should have constant access to the natural world within the school grounds, as well as an on-site museum or hands-on examples of real things.</w:t>
          </w:r>
        </w:p>
        <w:p w:rsidR="00697FE2" w:rsidRPr="00697FE2" w:rsidRDefault="00697FE2" w:rsidP="00697FE2">
          <w:pPr>
            <w:jc w:val="center"/>
            <w:rPr>
              <w:rFonts w:ascii="Palatino Linotype" w:hAnsi="Palatino Linotype"/>
              <w:b/>
              <w:sz w:val="24"/>
              <w:szCs w:val="24"/>
            </w:rPr>
          </w:pPr>
          <w:r w:rsidRPr="00697FE2">
            <w:rPr>
              <w:rFonts w:ascii="Palatino Linotype" w:hAnsi="Palatino Linotype"/>
              <w:b/>
              <w:sz w:val="24"/>
              <w:szCs w:val="24"/>
            </w:rPr>
            <w:t xml:space="preserve"> The </w:t>
          </w:r>
          <w:r>
            <w:rPr>
              <w:rFonts w:ascii="Palatino Linotype" w:hAnsi="Palatino Linotype"/>
              <w:b/>
              <w:sz w:val="24"/>
              <w:szCs w:val="24"/>
            </w:rPr>
            <w:t>Proper Use</w:t>
          </w:r>
          <w:r w:rsidRPr="00697FE2">
            <w:rPr>
              <w:rFonts w:ascii="Palatino Linotype" w:hAnsi="Palatino Linotype"/>
              <w:b/>
              <w:sz w:val="24"/>
              <w:szCs w:val="24"/>
            </w:rPr>
            <w:t xml:space="preserve"> of Freedom</w:t>
          </w:r>
        </w:p>
        <w:p w:rsidR="00697FE2" w:rsidRPr="00697FE2" w:rsidRDefault="00697FE2" w:rsidP="00697FE2">
          <w:pPr>
            <w:ind w:firstLine="720"/>
            <w:rPr>
              <w:rFonts w:ascii="Palatino Linotype" w:hAnsi="Palatino Linotype"/>
              <w:sz w:val="24"/>
              <w:szCs w:val="24"/>
            </w:rPr>
          </w:pPr>
          <w:r w:rsidRPr="00697FE2">
            <w:rPr>
              <w:rFonts w:ascii="Palatino Linotype" w:hAnsi="Palatino Linotype"/>
              <w:sz w:val="24"/>
              <w:szCs w:val="24"/>
            </w:rPr>
            <w:t>Montessori believed the child needed freedom, and it has become fashionable in other classroom situations to give children more freedom, but Montessori disagrees.  The child’s interest *requires* preparation.  It can’t just be left to run loose.  Freedom without constraints is misunderstood.</w:t>
          </w:r>
        </w:p>
        <w:p w:rsidR="00697FE2" w:rsidRPr="00697FE2" w:rsidRDefault="00697FE2" w:rsidP="00697FE2">
          <w:pPr>
            <w:jc w:val="center"/>
            <w:rPr>
              <w:rFonts w:ascii="Palatino Linotype" w:hAnsi="Palatino Linotype"/>
              <w:b/>
              <w:sz w:val="24"/>
              <w:szCs w:val="24"/>
            </w:rPr>
          </w:pPr>
          <w:r w:rsidRPr="00697FE2">
            <w:rPr>
              <w:rFonts w:ascii="Palatino Linotype" w:hAnsi="Palatino Linotype"/>
              <w:b/>
              <w:sz w:val="24"/>
              <w:szCs w:val="24"/>
            </w:rPr>
            <w:t>Tis a Gift to be Simple</w:t>
          </w:r>
        </w:p>
        <w:p w:rsidR="00697FE2" w:rsidRPr="00697FE2" w:rsidRDefault="00697FE2" w:rsidP="00697FE2">
          <w:pPr>
            <w:ind w:firstLine="720"/>
            <w:rPr>
              <w:rFonts w:ascii="Palatino Linotype" w:hAnsi="Palatino Linotype"/>
              <w:sz w:val="24"/>
              <w:szCs w:val="24"/>
            </w:rPr>
          </w:pPr>
          <w:r w:rsidRPr="00697FE2">
            <w:rPr>
              <w:rFonts w:ascii="Palatino Linotype" w:hAnsi="Palatino Linotype"/>
              <w:sz w:val="24"/>
              <w:szCs w:val="24"/>
            </w:rPr>
            <w:t xml:space="preserve">Simplicity is key – for too much complexity might satisfy the child’s hunger for knowledge.  The point is to </w:t>
          </w:r>
          <w:r w:rsidRPr="00697FE2">
            <w:rPr>
              <w:rFonts w:ascii="Palatino Linotype" w:hAnsi="Palatino Linotype"/>
              <w:i/>
              <w:sz w:val="24"/>
              <w:szCs w:val="24"/>
            </w:rPr>
            <w:t>spark</w:t>
          </w:r>
          <w:r w:rsidRPr="00697FE2">
            <w:rPr>
              <w:rFonts w:ascii="Palatino Linotype" w:hAnsi="Palatino Linotype"/>
              <w:sz w:val="24"/>
              <w:szCs w:val="24"/>
            </w:rPr>
            <w:t xml:space="preserve"> interest, not satisfy it.  Materials in the classroom are intentionally limited.  The child must find answers elsewhere.</w:t>
          </w:r>
        </w:p>
        <w:p w:rsidR="00697FE2" w:rsidRPr="00697FE2" w:rsidRDefault="00697FE2" w:rsidP="00697FE2">
          <w:pPr>
            <w:jc w:val="center"/>
            <w:rPr>
              <w:rFonts w:ascii="Palatino Linotype" w:hAnsi="Palatino Linotype"/>
              <w:b/>
              <w:sz w:val="24"/>
              <w:szCs w:val="24"/>
            </w:rPr>
          </w:pPr>
          <w:r w:rsidRPr="00697FE2">
            <w:rPr>
              <w:rFonts w:ascii="Palatino Linotype" w:hAnsi="Palatino Linotype"/>
              <w:b/>
              <w:sz w:val="24"/>
              <w:szCs w:val="24"/>
            </w:rPr>
            <w:t>Social Aspect of Learning</w:t>
          </w:r>
        </w:p>
        <w:p w:rsidR="00697FE2" w:rsidRPr="00697FE2" w:rsidRDefault="00697FE2" w:rsidP="00697FE2">
          <w:pPr>
            <w:ind w:firstLine="720"/>
            <w:rPr>
              <w:rFonts w:ascii="Palatino Linotype" w:hAnsi="Palatino Linotype"/>
              <w:sz w:val="24"/>
              <w:szCs w:val="24"/>
            </w:rPr>
          </w:pPr>
          <w:r w:rsidRPr="00697FE2">
            <w:rPr>
              <w:rFonts w:ascii="Palatino Linotype" w:hAnsi="Palatino Linotype"/>
              <w:sz w:val="24"/>
              <w:szCs w:val="24"/>
            </w:rPr>
            <w:t>Working together on study projects helps all children involved to learn.  This allows children to share knowledge gained, while also enjoying the richness of deep research for themselves.  Therefore depth and breadth are gained working in groups.</w:t>
          </w:r>
        </w:p>
        <w:p w:rsidR="00697FE2" w:rsidRDefault="00697FE2" w:rsidP="00697FE2">
          <w:pPr>
            <w:jc w:val="center"/>
            <w:rPr>
              <w:rFonts w:ascii="Palatino Linotype" w:hAnsi="Palatino Linotype"/>
              <w:b/>
              <w:sz w:val="24"/>
              <w:szCs w:val="24"/>
            </w:rPr>
          </w:pPr>
          <w:r w:rsidRPr="00697FE2">
            <w:rPr>
              <w:rFonts w:ascii="Palatino Linotype" w:hAnsi="Palatino Linotype"/>
              <w:b/>
              <w:sz w:val="24"/>
              <w:szCs w:val="24"/>
            </w:rPr>
            <w:t>Conclusion</w:t>
          </w:r>
        </w:p>
        <w:p w:rsidR="00697FE2" w:rsidRDefault="00697FE2" w:rsidP="00697FE2">
          <w:pPr>
            <w:rPr>
              <w:rFonts w:ascii="Palatino Linotype" w:hAnsi="Palatino Linotype"/>
              <w:b/>
              <w:sz w:val="24"/>
              <w:szCs w:val="24"/>
            </w:rPr>
          </w:pPr>
          <w:r>
            <w:rPr>
              <w:rFonts w:ascii="Palatino Linotype" w:hAnsi="Palatino Linotype"/>
              <w:sz w:val="24"/>
              <w:szCs w:val="24"/>
            </w:rPr>
            <w:tab/>
            <w:t>See, that’s what I told ya.</w:t>
          </w:r>
        </w:p>
      </w:sdtContent>
    </w:sdt>
    <w:p w:rsidR="00697FE2" w:rsidRPr="00697FE2" w:rsidRDefault="00697FE2" w:rsidP="00697FE2">
      <w:pPr>
        <w:rPr>
          <w:rFonts w:ascii="Palatino Linotype" w:hAnsi="Palatino Linotype"/>
          <w:sz w:val="24"/>
          <w:szCs w:val="24"/>
        </w:rPr>
      </w:pPr>
    </w:p>
    <w:sectPr w:rsidR="00697FE2" w:rsidRPr="00697FE2" w:rsidSect="00C73706">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0ED4" w:rsidRDefault="000D0ED4" w:rsidP="008F7972">
      <w:pPr>
        <w:spacing w:after="0" w:line="240" w:lineRule="auto"/>
      </w:pPr>
      <w:r>
        <w:separator/>
      </w:r>
    </w:p>
  </w:endnote>
  <w:endnote w:type="continuationSeparator" w:id="1">
    <w:p w:rsidR="000D0ED4" w:rsidRDefault="000D0ED4" w:rsidP="008F79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0ED4" w:rsidRDefault="000D0ED4" w:rsidP="008F7972">
      <w:pPr>
        <w:spacing w:after="0" w:line="240" w:lineRule="auto"/>
      </w:pPr>
      <w:r>
        <w:separator/>
      </w:r>
    </w:p>
  </w:footnote>
  <w:footnote w:type="continuationSeparator" w:id="1">
    <w:p w:rsidR="000D0ED4" w:rsidRDefault="000D0ED4" w:rsidP="008F79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9096794"/>
      <w:docPartObj>
        <w:docPartGallery w:val="Page Numbers (Top of Page)"/>
        <w:docPartUnique/>
      </w:docPartObj>
    </w:sdtPr>
    <w:sdtContent>
      <w:p w:rsidR="00723F2F" w:rsidRDefault="00697FE2">
        <w:pPr>
          <w:pStyle w:val="Header"/>
          <w:jc w:val="right"/>
        </w:pPr>
        <w:r>
          <w:rPr>
            <w:rFonts w:ascii="Palatino Linotype" w:hAnsi="Palatino Linotype"/>
          </w:rPr>
          <w:t>Great Lessons</w:t>
        </w:r>
        <w:r w:rsidR="00723F2F" w:rsidRPr="00723F2F">
          <w:rPr>
            <w:rFonts w:ascii="Palatino Linotype" w:hAnsi="Palatino Linotype"/>
          </w:rPr>
          <w:t xml:space="preserve">– pg </w:t>
        </w:r>
        <w:r w:rsidR="00ED1208" w:rsidRPr="00723F2F">
          <w:rPr>
            <w:rFonts w:ascii="Palatino Linotype" w:hAnsi="Palatino Linotype"/>
          </w:rPr>
          <w:fldChar w:fldCharType="begin"/>
        </w:r>
        <w:r w:rsidR="00723F2F" w:rsidRPr="00723F2F">
          <w:rPr>
            <w:rFonts w:ascii="Palatino Linotype" w:hAnsi="Palatino Linotype"/>
          </w:rPr>
          <w:instrText xml:space="preserve"> PAGE   \* MERGEFORMAT </w:instrText>
        </w:r>
        <w:r w:rsidR="00ED1208" w:rsidRPr="00723F2F">
          <w:rPr>
            <w:rFonts w:ascii="Palatino Linotype" w:hAnsi="Palatino Linotype"/>
          </w:rPr>
          <w:fldChar w:fldCharType="separate"/>
        </w:r>
        <w:r w:rsidR="008A296D">
          <w:rPr>
            <w:rFonts w:ascii="Palatino Linotype" w:hAnsi="Palatino Linotype"/>
            <w:noProof/>
          </w:rPr>
          <w:t>3</w:t>
        </w:r>
        <w:r w:rsidR="00ED1208" w:rsidRPr="00723F2F">
          <w:rPr>
            <w:rFonts w:ascii="Palatino Linotype" w:hAnsi="Palatino Linotype"/>
          </w:rPr>
          <w:fldChar w:fldCharType="end"/>
        </w:r>
      </w:p>
    </w:sdtContent>
  </w:sdt>
  <w:p w:rsidR="00723F2F" w:rsidRDefault="00723F2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ctiveWritingStyle w:appName="MSWord" w:lang="en-US" w:vendorID="64" w:dllVersion="131078" w:nlCheck="1" w:checkStyle="1"/>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5684E"/>
    <w:rsid w:val="00012E9A"/>
    <w:rsid w:val="0005684E"/>
    <w:rsid w:val="00082A46"/>
    <w:rsid w:val="00084945"/>
    <w:rsid w:val="00096E7A"/>
    <w:rsid w:val="000A3B36"/>
    <w:rsid w:val="000B22A0"/>
    <w:rsid w:val="000B432E"/>
    <w:rsid w:val="000D0ED4"/>
    <w:rsid w:val="000D60D3"/>
    <w:rsid w:val="00116002"/>
    <w:rsid w:val="0011726A"/>
    <w:rsid w:val="00122DD8"/>
    <w:rsid w:val="00140BF6"/>
    <w:rsid w:val="00154999"/>
    <w:rsid w:val="00197340"/>
    <w:rsid w:val="001A2B3A"/>
    <w:rsid w:val="001B2BA4"/>
    <w:rsid w:val="001B627B"/>
    <w:rsid w:val="001E1030"/>
    <w:rsid w:val="001E428F"/>
    <w:rsid w:val="001E7BB4"/>
    <w:rsid w:val="001F0384"/>
    <w:rsid w:val="001F1432"/>
    <w:rsid w:val="00201D0B"/>
    <w:rsid w:val="0025623F"/>
    <w:rsid w:val="00273EF7"/>
    <w:rsid w:val="00281528"/>
    <w:rsid w:val="0029068C"/>
    <w:rsid w:val="00292973"/>
    <w:rsid w:val="002E7DE4"/>
    <w:rsid w:val="002F4283"/>
    <w:rsid w:val="003062A1"/>
    <w:rsid w:val="003068A4"/>
    <w:rsid w:val="00321B3D"/>
    <w:rsid w:val="00331AD7"/>
    <w:rsid w:val="00343111"/>
    <w:rsid w:val="00360333"/>
    <w:rsid w:val="00375817"/>
    <w:rsid w:val="003A1E00"/>
    <w:rsid w:val="003A6F2C"/>
    <w:rsid w:val="003B194D"/>
    <w:rsid w:val="00403183"/>
    <w:rsid w:val="00422216"/>
    <w:rsid w:val="00430F2D"/>
    <w:rsid w:val="00437563"/>
    <w:rsid w:val="00441690"/>
    <w:rsid w:val="0044202C"/>
    <w:rsid w:val="00443EF2"/>
    <w:rsid w:val="0048189B"/>
    <w:rsid w:val="004A4018"/>
    <w:rsid w:val="004C0FA5"/>
    <w:rsid w:val="004F310E"/>
    <w:rsid w:val="004F5A55"/>
    <w:rsid w:val="00515963"/>
    <w:rsid w:val="0052673A"/>
    <w:rsid w:val="00530475"/>
    <w:rsid w:val="00540AAE"/>
    <w:rsid w:val="0054675A"/>
    <w:rsid w:val="00547DB1"/>
    <w:rsid w:val="00556E15"/>
    <w:rsid w:val="00557A5D"/>
    <w:rsid w:val="005A2B84"/>
    <w:rsid w:val="005B3F1A"/>
    <w:rsid w:val="005C5696"/>
    <w:rsid w:val="005D4B21"/>
    <w:rsid w:val="005E4D8B"/>
    <w:rsid w:val="005F286B"/>
    <w:rsid w:val="0060105A"/>
    <w:rsid w:val="00610601"/>
    <w:rsid w:val="00630DED"/>
    <w:rsid w:val="0064342B"/>
    <w:rsid w:val="00662808"/>
    <w:rsid w:val="00677358"/>
    <w:rsid w:val="00691CD1"/>
    <w:rsid w:val="00697FE2"/>
    <w:rsid w:val="00697FF2"/>
    <w:rsid w:val="006F183E"/>
    <w:rsid w:val="00723F2F"/>
    <w:rsid w:val="00724188"/>
    <w:rsid w:val="0074649D"/>
    <w:rsid w:val="0077556C"/>
    <w:rsid w:val="0078139E"/>
    <w:rsid w:val="007816AA"/>
    <w:rsid w:val="0079376B"/>
    <w:rsid w:val="007A5097"/>
    <w:rsid w:val="007C2FD4"/>
    <w:rsid w:val="007C6EBD"/>
    <w:rsid w:val="007D5495"/>
    <w:rsid w:val="007F5D02"/>
    <w:rsid w:val="008418E4"/>
    <w:rsid w:val="00844B8C"/>
    <w:rsid w:val="008657EE"/>
    <w:rsid w:val="008916BF"/>
    <w:rsid w:val="008A296D"/>
    <w:rsid w:val="008B408A"/>
    <w:rsid w:val="008C77CE"/>
    <w:rsid w:val="008F7972"/>
    <w:rsid w:val="00913DD9"/>
    <w:rsid w:val="0093552D"/>
    <w:rsid w:val="00936BD8"/>
    <w:rsid w:val="0094704E"/>
    <w:rsid w:val="00955102"/>
    <w:rsid w:val="009C5D94"/>
    <w:rsid w:val="009D319C"/>
    <w:rsid w:val="009E6BDD"/>
    <w:rsid w:val="00A01363"/>
    <w:rsid w:val="00A0678E"/>
    <w:rsid w:val="00A1209A"/>
    <w:rsid w:val="00A14B8E"/>
    <w:rsid w:val="00A416F4"/>
    <w:rsid w:val="00A515B2"/>
    <w:rsid w:val="00A51DE8"/>
    <w:rsid w:val="00A54B91"/>
    <w:rsid w:val="00A8421A"/>
    <w:rsid w:val="00A97800"/>
    <w:rsid w:val="00AA0BFC"/>
    <w:rsid w:val="00AA20D7"/>
    <w:rsid w:val="00AA5029"/>
    <w:rsid w:val="00AA638C"/>
    <w:rsid w:val="00AC3241"/>
    <w:rsid w:val="00AC40F7"/>
    <w:rsid w:val="00AD1D01"/>
    <w:rsid w:val="00B01107"/>
    <w:rsid w:val="00B03118"/>
    <w:rsid w:val="00B140C4"/>
    <w:rsid w:val="00B3337F"/>
    <w:rsid w:val="00B36067"/>
    <w:rsid w:val="00B51183"/>
    <w:rsid w:val="00B6239A"/>
    <w:rsid w:val="00B64053"/>
    <w:rsid w:val="00B66CCE"/>
    <w:rsid w:val="00B71522"/>
    <w:rsid w:val="00B77191"/>
    <w:rsid w:val="00B80F12"/>
    <w:rsid w:val="00B92483"/>
    <w:rsid w:val="00B94332"/>
    <w:rsid w:val="00BA6103"/>
    <w:rsid w:val="00BC5C4F"/>
    <w:rsid w:val="00BE12D0"/>
    <w:rsid w:val="00BE402C"/>
    <w:rsid w:val="00C05549"/>
    <w:rsid w:val="00C06776"/>
    <w:rsid w:val="00C3366D"/>
    <w:rsid w:val="00C35E96"/>
    <w:rsid w:val="00C5571E"/>
    <w:rsid w:val="00C55AAC"/>
    <w:rsid w:val="00C65A11"/>
    <w:rsid w:val="00C73706"/>
    <w:rsid w:val="00C95A07"/>
    <w:rsid w:val="00CA79F0"/>
    <w:rsid w:val="00CF6282"/>
    <w:rsid w:val="00D21A07"/>
    <w:rsid w:val="00D268CA"/>
    <w:rsid w:val="00D60D09"/>
    <w:rsid w:val="00D665DB"/>
    <w:rsid w:val="00D66AAF"/>
    <w:rsid w:val="00D76D08"/>
    <w:rsid w:val="00DA2795"/>
    <w:rsid w:val="00DA651B"/>
    <w:rsid w:val="00DB72D2"/>
    <w:rsid w:val="00DC1D6C"/>
    <w:rsid w:val="00DF7E66"/>
    <w:rsid w:val="00E64372"/>
    <w:rsid w:val="00ED1208"/>
    <w:rsid w:val="00ED2621"/>
    <w:rsid w:val="00F078AC"/>
    <w:rsid w:val="00F11232"/>
    <w:rsid w:val="00F311E9"/>
    <w:rsid w:val="00F43422"/>
    <w:rsid w:val="00F52284"/>
    <w:rsid w:val="00F55557"/>
    <w:rsid w:val="00F66F2A"/>
    <w:rsid w:val="00F74F6D"/>
    <w:rsid w:val="00F76BFC"/>
    <w:rsid w:val="00F77647"/>
    <w:rsid w:val="00F822B7"/>
    <w:rsid w:val="00F9252C"/>
    <w:rsid w:val="00F92F24"/>
    <w:rsid w:val="00FA4491"/>
    <w:rsid w:val="00FA5D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372"/>
    <w:rPr>
      <w:rFonts w:ascii="Calibri" w:eastAsia="Calibri" w:hAnsi="Calibri" w:cs="Times New Roman"/>
    </w:rPr>
  </w:style>
  <w:style w:type="paragraph" w:styleId="Heading1">
    <w:name w:val="heading 1"/>
    <w:basedOn w:val="Normal"/>
    <w:next w:val="Normal"/>
    <w:link w:val="Heading1Char"/>
    <w:uiPriority w:val="9"/>
    <w:qFormat/>
    <w:rsid w:val="00C06776"/>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684E"/>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05684E"/>
    <w:rPr>
      <w:rFonts w:ascii="Tahoma" w:hAnsi="Tahoma" w:cs="Tahoma"/>
      <w:sz w:val="16"/>
      <w:szCs w:val="16"/>
    </w:rPr>
  </w:style>
  <w:style w:type="paragraph" w:styleId="FootnoteText">
    <w:name w:val="footnote text"/>
    <w:basedOn w:val="Normal"/>
    <w:link w:val="FootnoteTextChar"/>
    <w:uiPriority w:val="99"/>
    <w:semiHidden/>
    <w:unhideWhenUsed/>
    <w:rsid w:val="008F7972"/>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8F7972"/>
    <w:rPr>
      <w:sz w:val="20"/>
      <w:szCs w:val="20"/>
    </w:rPr>
  </w:style>
  <w:style w:type="character" w:styleId="FootnoteReference">
    <w:name w:val="footnote reference"/>
    <w:basedOn w:val="DefaultParagraphFont"/>
    <w:uiPriority w:val="99"/>
    <w:semiHidden/>
    <w:unhideWhenUsed/>
    <w:rsid w:val="008F7972"/>
    <w:rPr>
      <w:vertAlign w:val="superscript"/>
    </w:rPr>
  </w:style>
  <w:style w:type="paragraph" w:styleId="Bibliography">
    <w:name w:val="Bibliography"/>
    <w:basedOn w:val="Normal"/>
    <w:next w:val="Normal"/>
    <w:uiPriority w:val="37"/>
    <w:unhideWhenUsed/>
    <w:rsid w:val="00E64372"/>
  </w:style>
  <w:style w:type="character" w:customStyle="1" w:styleId="Heading1Char">
    <w:name w:val="Heading 1 Char"/>
    <w:basedOn w:val="DefaultParagraphFont"/>
    <w:link w:val="Heading1"/>
    <w:uiPriority w:val="9"/>
    <w:rsid w:val="00C06776"/>
    <w:rPr>
      <w:rFonts w:asciiTheme="majorHAnsi" w:eastAsiaTheme="majorEastAsia" w:hAnsiTheme="majorHAnsi" w:cstheme="majorBidi"/>
      <w:b/>
      <w:bCs/>
      <w:color w:val="365F91" w:themeColor="accent1" w:themeShade="BF"/>
      <w:sz w:val="28"/>
      <w:szCs w:val="28"/>
      <w:lang w:bidi="en-US"/>
    </w:rPr>
  </w:style>
  <w:style w:type="paragraph" w:styleId="NoSpacing">
    <w:name w:val="No Spacing"/>
    <w:link w:val="NoSpacingChar"/>
    <w:uiPriority w:val="1"/>
    <w:qFormat/>
    <w:rsid w:val="00C73706"/>
    <w:pPr>
      <w:spacing w:after="0" w:line="240" w:lineRule="auto"/>
    </w:pPr>
    <w:rPr>
      <w:rFonts w:eastAsiaTheme="minorEastAsia"/>
    </w:rPr>
  </w:style>
  <w:style w:type="character" w:customStyle="1" w:styleId="NoSpacingChar">
    <w:name w:val="No Spacing Char"/>
    <w:basedOn w:val="DefaultParagraphFont"/>
    <w:link w:val="NoSpacing"/>
    <w:uiPriority w:val="1"/>
    <w:rsid w:val="00C73706"/>
    <w:rPr>
      <w:rFonts w:eastAsiaTheme="minorEastAsia"/>
    </w:rPr>
  </w:style>
  <w:style w:type="paragraph" w:styleId="Header">
    <w:name w:val="header"/>
    <w:basedOn w:val="Normal"/>
    <w:link w:val="HeaderChar"/>
    <w:uiPriority w:val="99"/>
    <w:unhideWhenUsed/>
    <w:rsid w:val="00723F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F2F"/>
    <w:rPr>
      <w:rFonts w:ascii="Calibri" w:eastAsia="Calibri" w:hAnsi="Calibri" w:cs="Times New Roman"/>
    </w:rPr>
  </w:style>
  <w:style w:type="paragraph" w:styleId="Footer">
    <w:name w:val="footer"/>
    <w:basedOn w:val="Normal"/>
    <w:link w:val="FooterChar"/>
    <w:uiPriority w:val="99"/>
    <w:semiHidden/>
    <w:unhideWhenUsed/>
    <w:rsid w:val="00723F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23F2F"/>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32BB16CE183448098A9FFDFB079F5E2"/>
        <w:category>
          <w:name w:val="General"/>
          <w:gallery w:val="placeholder"/>
        </w:category>
        <w:types>
          <w:type w:val="bbPlcHdr"/>
        </w:types>
        <w:behaviors>
          <w:behavior w:val="content"/>
        </w:behaviors>
        <w:guid w:val="{CF144AB5-D785-443E-AE50-7717685C3B4B}"/>
      </w:docPartPr>
      <w:docPartBody>
        <w:p w:rsidR="006C52B4" w:rsidRDefault="002F4D6C" w:rsidP="002F4D6C">
          <w:pPr>
            <w:pStyle w:val="B32BB16CE183448098A9FFDFB079F5E2"/>
          </w:pPr>
          <w:r>
            <w:rPr>
              <w:rFonts w:asciiTheme="majorHAnsi" w:eastAsiaTheme="majorEastAsia" w:hAnsiTheme="majorHAnsi" w:cstheme="majorBidi"/>
              <w:caps/>
            </w:rPr>
            <w:t>[Type the company name]</w:t>
          </w:r>
        </w:p>
      </w:docPartBody>
    </w:docPart>
    <w:docPart>
      <w:docPartPr>
        <w:name w:val="598DC0036F4142D2A096C73E7EA25A23"/>
        <w:category>
          <w:name w:val="General"/>
          <w:gallery w:val="placeholder"/>
        </w:category>
        <w:types>
          <w:type w:val="bbPlcHdr"/>
        </w:types>
        <w:behaviors>
          <w:behavior w:val="content"/>
        </w:behaviors>
        <w:guid w:val="{3B569B4C-EE91-43E8-B66B-F46AC369E22D}"/>
      </w:docPartPr>
      <w:docPartBody>
        <w:p w:rsidR="006C52B4" w:rsidRDefault="002F4D6C" w:rsidP="002F4D6C">
          <w:pPr>
            <w:pStyle w:val="598DC0036F4142D2A096C73E7EA25A23"/>
          </w:pPr>
          <w:r>
            <w:rPr>
              <w:rFonts w:asciiTheme="majorHAnsi" w:eastAsiaTheme="majorEastAsia" w:hAnsiTheme="majorHAnsi" w:cstheme="majorBidi"/>
              <w:sz w:val="80"/>
              <w:szCs w:val="80"/>
            </w:rPr>
            <w:t>[Type the document title]</w:t>
          </w:r>
        </w:p>
      </w:docPartBody>
    </w:docPart>
    <w:docPart>
      <w:docPartPr>
        <w:name w:val="951DDC2CE30E4782AA3D4E2E4D8CD1D8"/>
        <w:category>
          <w:name w:val="General"/>
          <w:gallery w:val="placeholder"/>
        </w:category>
        <w:types>
          <w:type w:val="bbPlcHdr"/>
        </w:types>
        <w:behaviors>
          <w:behavior w:val="content"/>
        </w:behaviors>
        <w:guid w:val="{22760452-3DC0-44CA-B588-1E71490AEFB1}"/>
      </w:docPartPr>
      <w:docPartBody>
        <w:p w:rsidR="006C52B4" w:rsidRDefault="002F4D6C" w:rsidP="002F4D6C">
          <w:pPr>
            <w:pStyle w:val="951DDC2CE30E4782AA3D4E2E4D8CD1D8"/>
          </w:pPr>
          <w:r>
            <w:rPr>
              <w:rFonts w:asciiTheme="majorHAnsi" w:eastAsiaTheme="majorEastAsia" w:hAnsiTheme="majorHAnsi" w:cstheme="majorBidi"/>
              <w:sz w:val="44"/>
              <w:szCs w:val="44"/>
            </w:rPr>
            <w:t>[Type the document subtitle]</w:t>
          </w:r>
        </w:p>
      </w:docPartBody>
    </w:docPart>
    <w:docPart>
      <w:docPartPr>
        <w:name w:val="A7F99651E0724D8BB4182928C0C3F5C7"/>
        <w:category>
          <w:name w:val="General"/>
          <w:gallery w:val="placeholder"/>
        </w:category>
        <w:types>
          <w:type w:val="bbPlcHdr"/>
        </w:types>
        <w:behaviors>
          <w:behavior w:val="content"/>
        </w:behaviors>
        <w:guid w:val="{853C0E83-A373-42A1-81F1-95665DD40B37}"/>
      </w:docPartPr>
      <w:docPartBody>
        <w:p w:rsidR="006C52B4" w:rsidRDefault="002F4D6C" w:rsidP="002F4D6C">
          <w:pPr>
            <w:pStyle w:val="A7F99651E0724D8BB4182928C0C3F5C7"/>
          </w:pPr>
          <w:r>
            <w:rPr>
              <w:b/>
              <w:bCs/>
            </w:rPr>
            <w:t>[Type the author name]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F4D6C"/>
    <w:rsid w:val="002F4D6C"/>
    <w:rsid w:val="006C52B4"/>
    <w:rsid w:val="00FE1E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2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2BB16CE183448098A9FFDFB079F5E2">
    <w:name w:val="B32BB16CE183448098A9FFDFB079F5E2"/>
    <w:rsid w:val="002F4D6C"/>
  </w:style>
  <w:style w:type="paragraph" w:customStyle="1" w:styleId="598DC0036F4142D2A096C73E7EA25A23">
    <w:name w:val="598DC0036F4142D2A096C73E7EA25A23"/>
    <w:rsid w:val="002F4D6C"/>
  </w:style>
  <w:style w:type="paragraph" w:customStyle="1" w:styleId="951DDC2CE30E4782AA3D4E2E4D8CD1D8">
    <w:name w:val="951DDC2CE30E4782AA3D4E2E4D8CD1D8"/>
    <w:rsid w:val="002F4D6C"/>
  </w:style>
  <w:style w:type="paragraph" w:customStyle="1" w:styleId="A7F99651E0724D8BB4182928C0C3F5C7">
    <w:name w:val="A7F99651E0724D8BB4182928C0C3F5C7"/>
    <w:rsid w:val="002F4D6C"/>
  </w:style>
  <w:style w:type="paragraph" w:customStyle="1" w:styleId="5AE682F7DAC34B8EBB52E1ECC878AF57">
    <w:name w:val="5AE682F7DAC34B8EBB52E1ECC878AF57"/>
    <w:rsid w:val="002F4D6C"/>
  </w:style>
  <w:style w:type="paragraph" w:customStyle="1" w:styleId="229A2F8F7E694E158450415B0B32F01B">
    <w:name w:val="229A2F8F7E694E158450415B0B32F01B"/>
    <w:rsid w:val="002F4D6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2009-01-26T00:00:00</PublishDate>
  <Abstract>A description of the Great Lessons, the Key Lessons, and the Follow On Lessons and how they are used in the classroom.  This is a very drafty draft, not much to it, but I figured I’d give you a flavor of what I intend to write when I get the time to polish it up!</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Pau96</b:Tag>
    <b:SourceType>Book</b:SourceType>
    <b:Guid>{7AC7D8E6-FE63-4B5A-96B3-E986DF658F0A}</b:Guid>
    <b:LCID>0</b:LCID>
    <b:Author>
      <b:Author>
        <b:NameList>
          <b:Person>
            <b:Last>Lillard</b:Last>
            <b:First>Paula</b:First>
            <b:Middle>Polk</b:Middle>
          </b:Person>
        </b:NameList>
      </b:Author>
    </b:Author>
    <b:Title>Montessori Today: A Comprehensive Approach to Education from Birth to Adulthood</b:Title>
    <b:Year>1996</b:Year>
    <b:City>New York, NY</b:City>
    <b:Publisher>Pantheon Books</b:Publisher>
    <b:RefOrder>2</b:RefOrder>
  </b:Source>
  <b:Source>
    <b:Tag>Lil07</b:Tag>
    <b:SourceType>Book</b:SourceType>
    <b:Guid>{F52EB294-9770-4428-BA64-430688E7AA11}</b:Guid>
    <b:LCID>0</b:LCID>
    <b:Author>
      <b:Author>
        <b:NameList>
          <b:Person>
            <b:Last>Lillard</b:Last>
            <b:First>Angeline</b:First>
            <b:Middle>Stoll</b:Middle>
          </b:Person>
        </b:NameList>
      </b:Author>
    </b:Author>
    <b:Title>Montessori: The Science Behind the Genius</b:Title>
    <b:Year>2007</b:Year>
    <b:City>New York</b:City>
    <b:Publisher>Oxford University Press</b:Publisher>
    <b:RefOrder>3</b:RefOrder>
  </b:Source>
  <b:Source>
    <b:Tag>DrM94</b:Tag>
    <b:SourceType>Book</b:SourceType>
    <b:Guid>{E6108F5F-3641-4F04-A73B-5955C7380906}</b:Guid>
    <b:LCID>0</b:LCID>
    <b:Author>
      <b:Author>
        <b:NameList>
          <b:Person>
            <b:Last>Montessori</b:Last>
            <b:First>Dr.</b:First>
            <b:Middle>Maria</b:Middle>
          </b:Person>
        </b:NameList>
      </b:Author>
    </b:Author>
    <b:Title>From Childhood to Adolescence</b:Title>
    <b:Year>1948/1994</b:Year>
    <b:City>Oxford, England</b:City>
    <b:Publisher>ABC Cleo</b:Publisher>
    <b:RefOrder>1</b:RefOrder>
  </b:Source>
  <b:Source>
    <b:Tag>Mon89</b:Tag>
    <b:SourceType>Book</b:SourceType>
    <b:Guid>{E9E2C1D1-1FE2-465B-8B43-AA927826D2B6}</b:Guid>
    <b:LCID>0</b:LCID>
    <b:Author>
      <b:Author>
        <b:NameList>
          <b:Person>
            <b:Last>Montessori</b:Last>
            <b:First>Dr.</b:First>
            <b:Middle>Maria</b:Middle>
          </b:Person>
        </b:NameList>
      </b:Author>
    </b:Author>
    <b:Title>To Educate the Human Potential</b:Title>
    <b:Year>1948/1989</b:Year>
    <b:Publisher>Clio Press Ltd.</b:Publisher>
    <b:City>Oxford England</b:City>
    <b:RefOrder>4</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A6905E-0162-407E-BFF4-CB207CC1B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Going Out</vt:lpstr>
    </vt:vector>
  </TitlesOfParts>
  <Company>  </Company>
  <LinksUpToDate>false</LinksUpToDate>
  <CharactersWithSpaces>3574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Lessons (draft)</dc:title>
  <dc:subject>Montessori Foundations: History 265</dc:subject>
  <dc:creator>Cynthia “Kiki” Pettit</dc:creator>
  <cp:keywords/>
  <dc:description/>
  <cp:lastModifiedBy>Cynthia "Kiki" Pettit</cp:lastModifiedBy>
  <cp:revision>3</cp:revision>
  <cp:lastPrinted>2009-01-21T21:32:00Z</cp:lastPrinted>
  <dcterms:created xsi:type="dcterms:W3CDTF">2009-01-26T23:49:00Z</dcterms:created>
  <dcterms:modified xsi:type="dcterms:W3CDTF">2009-01-26T23:59:00Z</dcterms:modified>
</cp:coreProperties>
</file>